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0A" w:rsidRDefault="00487603" w:rsidP="0048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Архипов П.И. </w:t>
      </w:r>
      <w:r w:rsidRPr="00487603"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eastAsia="ru-RU"/>
        </w:rPr>
        <w:t>Психофизиологические предпосылки эмоциональной саморегуляции педагогов</w:t>
      </w:r>
      <w:r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eastAsia="ru-RU"/>
        </w:rPr>
        <w:t xml:space="preserve"> </w:t>
      </w:r>
      <w:proofErr w:type="gramEnd"/>
    </w:p>
    <w:p w:rsidR="00487603" w:rsidRPr="00487603" w:rsidRDefault="00487603" w:rsidP="0048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Научный руководитель: канд. психол. наук, доцент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Овсяникова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Е.А.</w:t>
      </w:r>
    </w:p>
    <w:p w:rsidR="00487603" w:rsidRDefault="00487603" w:rsidP="004876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DC4E7A" w:rsidRPr="00384D4A" w:rsidRDefault="00DC4E7A" w:rsidP="00DC4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A3E">
        <w:rPr>
          <w:rFonts w:ascii="Times New Roman" w:hAnsi="Times New Roman" w:cs="Times New Roman"/>
          <w:color w:val="111111"/>
          <w:sz w:val="28"/>
          <w:szCs w:val="28"/>
        </w:rPr>
        <w:t>В настоящее время все более ускоряется темп развития российского государства и общества, на ряду, с этим возрастают и требования к способностям человека. В современном мире человек должен быть образованный – обладать высоким уровнем интеллекта, мобильным, коммуникабельным, конкурентоспособным. Но при активном росте интеллектуальных способностей, человек не испытывает </w:t>
      </w:r>
      <w:r w:rsidRPr="00DC4E7A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достаточного</w:t>
      </w:r>
      <w:r w:rsidRPr="004C3A3E">
        <w:rPr>
          <w:rFonts w:ascii="Times New Roman" w:hAnsi="Times New Roman" w:cs="Times New Roman"/>
          <w:color w:val="111111"/>
          <w:sz w:val="28"/>
          <w:szCs w:val="28"/>
        </w:rPr>
        <w:t xml:space="preserve"> объема физической нагрузки, которая бы уравновешивала </w:t>
      </w:r>
      <w:proofErr w:type="spellStart"/>
      <w:r w:rsidRPr="004C3A3E">
        <w:rPr>
          <w:rFonts w:ascii="Times New Roman" w:hAnsi="Times New Roman" w:cs="Times New Roman"/>
          <w:color w:val="111111"/>
          <w:sz w:val="28"/>
          <w:szCs w:val="28"/>
        </w:rPr>
        <w:t>психоэмоциональную</w:t>
      </w:r>
      <w:proofErr w:type="spellEnd"/>
      <w:r w:rsidRPr="004C3A3E">
        <w:rPr>
          <w:rFonts w:ascii="Times New Roman" w:hAnsi="Times New Roman" w:cs="Times New Roman"/>
          <w:color w:val="111111"/>
          <w:sz w:val="28"/>
          <w:szCs w:val="28"/>
        </w:rPr>
        <w:t xml:space="preserve"> сферу личности. При таком дисбалансе и активном жизненном темпе часто возникаю психические расстройства, которые в последствия могут </w:t>
      </w:r>
      <w:r w:rsidRPr="00DC4E7A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стать</w:t>
      </w:r>
      <w:r w:rsidRPr="00DC4E7A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4C3A3E">
        <w:rPr>
          <w:rFonts w:ascii="Times New Roman" w:hAnsi="Times New Roman" w:cs="Times New Roman"/>
          <w:color w:val="111111"/>
          <w:sz w:val="28"/>
          <w:szCs w:val="28"/>
        </w:rPr>
        <w:t>причиной нарушений функ</w:t>
      </w:r>
      <w:r>
        <w:rPr>
          <w:rFonts w:ascii="Times New Roman" w:hAnsi="Times New Roman" w:cs="Times New Roman"/>
          <w:color w:val="111111"/>
          <w:sz w:val="28"/>
          <w:szCs w:val="28"/>
        </w:rPr>
        <w:t>ционирования организма</w:t>
      </w:r>
      <w:r w:rsidRPr="004C3A3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87603" w:rsidRDefault="00487603" w:rsidP="004876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C4E7A">
        <w:rPr>
          <w:color w:val="111111"/>
          <w:sz w:val="28"/>
          <w:szCs w:val="28"/>
        </w:rPr>
        <w:t>Важный фактор, влияющий на психологическое здоровье человека – его профессиональная деятельность. Профессия </w:t>
      </w:r>
      <w:r w:rsidRPr="00DC4E7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DC4E7A">
        <w:rPr>
          <w:color w:val="111111"/>
          <w:sz w:val="28"/>
          <w:szCs w:val="28"/>
        </w:rPr>
        <w:t> сложна – ее публичность, высокая степень ответственности за здоровье, воспитание, обучение и развитие детей </w:t>
      </w:r>
      <w:r w:rsidRPr="00DC4E7A">
        <w:rPr>
          <w:iCs/>
          <w:color w:val="111111"/>
          <w:sz w:val="28"/>
          <w:szCs w:val="28"/>
          <w:bdr w:val="none" w:sz="0" w:space="0" w:color="auto" w:frame="1"/>
        </w:rPr>
        <w:t>(тем более в условиях реализации ФГОС)</w:t>
      </w:r>
      <w:r w:rsidRPr="00DC4E7A">
        <w:rPr>
          <w:color w:val="111111"/>
          <w:sz w:val="28"/>
          <w:szCs w:val="28"/>
        </w:rPr>
        <w:t xml:space="preserve"> часто обусловливает эмоциональную напряженность специалиста, тревогу и беспокойство, появление у него состояний, деструктивно влияющих на личность и характер профессиональной деятельности. Во избежание, нарушений в </w:t>
      </w:r>
      <w:proofErr w:type="spellStart"/>
      <w:r w:rsidRPr="00DC4E7A">
        <w:rPr>
          <w:color w:val="111111"/>
          <w:sz w:val="28"/>
          <w:szCs w:val="28"/>
        </w:rPr>
        <w:t>психоэмоциональной</w:t>
      </w:r>
      <w:proofErr w:type="spellEnd"/>
      <w:r w:rsidRPr="00DC4E7A">
        <w:rPr>
          <w:color w:val="111111"/>
          <w:sz w:val="28"/>
          <w:szCs w:val="28"/>
        </w:rPr>
        <w:t xml:space="preserve"> деятельности </w:t>
      </w:r>
      <w:r w:rsidRPr="00DC4E7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DC4E7A">
        <w:rPr>
          <w:color w:val="111111"/>
          <w:sz w:val="28"/>
          <w:szCs w:val="28"/>
        </w:rPr>
        <w:t> существуют разнообразные способы </w:t>
      </w:r>
      <w:r w:rsidRPr="00DC4E7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саморегуляции</w:t>
      </w:r>
      <w:r w:rsidRPr="00DC4E7A">
        <w:rPr>
          <w:color w:val="111111"/>
          <w:sz w:val="28"/>
          <w:szCs w:val="28"/>
        </w:rPr>
        <w:t>.</w:t>
      </w:r>
    </w:p>
    <w:p w:rsidR="00DC4E7A" w:rsidRDefault="00DC4E7A" w:rsidP="00DC4E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C3A3E">
        <w:rPr>
          <w:color w:val="111111"/>
          <w:sz w:val="28"/>
          <w:szCs w:val="28"/>
        </w:rPr>
        <w:t>Формирование знаний о способах </w:t>
      </w:r>
      <w:r w:rsidRPr="00DC4E7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самостоятельного регулирования</w:t>
      </w:r>
      <w:r w:rsidRPr="004C3A3E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DC4E7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4C3A3E">
        <w:rPr>
          <w:color w:val="111111"/>
          <w:sz w:val="28"/>
          <w:szCs w:val="28"/>
        </w:rPr>
        <w:t>является профессионально значимой задачей. Информировать о приемах </w:t>
      </w:r>
      <w:r w:rsidRPr="00DC4E7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саморегулирования</w:t>
      </w:r>
      <w:r w:rsidRPr="00DC4E7A">
        <w:rPr>
          <w:b/>
          <w:color w:val="111111"/>
          <w:sz w:val="28"/>
          <w:szCs w:val="28"/>
        </w:rPr>
        <w:t> </w:t>
      </w:r>
      <w:r w:rsidRPr="004C3A3E">
        <w:rPr>
          <w:color w:val="111111"/>
          <w:sz w:val="28"/>
          <w:szCs w:val="28"/>
        </w:rPr>
        <w:t>должны при профессиональной подготовке кадров. Психолого</w:t>
      </w:r>
      <w:r w:rsidRPr="00DC4E7A">
        <w:rPr>
          <w:b/>
          <w:color w:val="111111"/>
          <w:sz w:val="28"/>
          <w:szCs w:val="28"/>
        </w:rPr>
        <w:t>-</w:t>
      </w:r>
      <w:r w:rsidRPr="00DC4E7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педагогические исследования</w:t>
      </w:r>
      <w:r w:rsidRPr="004C3A3E">
        <w:rPr>
          <w:rStyle w:val="a6"/>
          <w:color w:val="111111"/>
          <w:sz w:val="28"/>
          <w:szCs w:val="28"/>
          <w:bdr w:val="none" w:sz="0" w:space="0" w:color="auto" w:frame="1"/>
        </w:rPr>
        <w:t> </w:t>
      </w:r>
      <w:r w:rsidRPr="004C3A3E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4C3A3E">
        <w:rPr>
          <w:iCs/>
          <w:color w:val="111111"/>
          <w:sz w:val="28"/>
          <w:szCs w:val="28"/>
          <w:bdr w:val="none" w:sz="0" w:space="0" w:color="auto" w:frame="1"/>
        </w:rPr>
        <w:t>Лосавио</w:t>
      </w:r>
      <w:proofErr w:type="spellEnd"/>
      <w:r w:rsidRPr="004C3A3E">
        <w:rPr>
          <w:iCs/>
          <w:color w:val="111111"/>
          <w:sz w:val="28"/>
          <w:szCs w:val="28"/>
          <w:bdr w:val="none" w:sz="0" w:space="0" w:color="auto" w:frame="1"/>
        </w:rPr>
        <w:t xml:space="preserve"> О.</w:t>
      </w:r>
      <w:r>
        <w:rPr>
          <w:iCs/>
          <w:color w:val="111111"/>
          <w:sz w:val="28"/>
          <w:szCs w:val="28"/>
          <w:bdr w:val="none" w:sz="0" w:space="0" w:color="auto" w:frame="1"/>
        </w:rPr>
        <w:t>В.,          Прохоров А.</w:t>
      </w:r>
      <w:r w:rsidRPr="004C3A3E">
        <w:rPr>
          <w:iCs/>
          <w:color w:val="111111"/>
          <w:sz w:val="28"/>
          <w:szCs w:val="28"/>
          <w:bdr w:val="none" w:sz="0" w:space="0" w:color="auto" w:frame="1"/>
        </w:rPr>
        <w:t xml:space="preserve">О., Хохлов С.И., </w:t>
      </w:r>
      <w:proofErr w:type="spellStart"/>
      <w:r w:rsidRPr="004C3A3E">
        <w:rPr>
          <w:iCs/>
          <w:color w:val="111111"/>
          <w:sz w:val="28"/>
          <w:szCs w:val="28"/>
          <w:bdr w:val="none" w:sz="0" w:space="0" w:color="auto" w:frame="1"/>
        </w:rPr>
        <w:t>Чебыкин</w:t>
      </w:r>
      <w:proofErr w:type="spellEnd"/>
      <w:r w:rsidRPr="004C3A3E">
        <w:rPr>
          <w:iCs/>
          <w:color w:val="111111"/>
          <w:sz w:val="28"/>
          <w:szCs w:val="28"/>
          <w:bdr w:val="none" w:sz="0" w:space="0" w:color="auto" w:frame="1"/>
        </w:rPr>
        <w:t xml:space="preserve"> А.И. и др.)</w:t>
      </w:r>
      <w:r w:rsidRPr="004C3A3E">
        <w:rPr>
          <w:color w:val="111111"/>
          <w:sz w:val="28"/>
          <w:szCs w:val="28"/>
        </w:rPr>
        <w:t xml:space="preserve"> показывают, что значительная </w:t>
      </w:r>
      <w:proofErr w:type="gramStart"/>
      <w:r w:rsidRPr="004C3A3E">
        <w:rPr>
          <w:color w:val="111111"/>
          <w:sz w:val="28"/>
          <w:szCs w:val="28"/>
        </w:rPr>
        <w:t>часть </w:t>
      </w:r>
      <w:r w:rsidRPr="00DC4E7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 w:rsidRPr="00DC4E7A"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не </w:t>
      </w:r>
      <w:r w:rsidRPr="004C3A3E">
        <w:rPr>
          <w:color w:val="111111"/>
          <w:sz w:val="28"/>
          <w:szCs w:val="28"/>
        </w:rPr>
        <w:t>владеет приемами</w:t>
      </w:r>
      <w:proofErr w:type="gramEnd"/>
      <w:r w:rsidRPr="004C3A3E">
        <w:rPr>
          <w:color w:val="111111"/>
          <w:sz w:val="28"/>
          <w:szCs w:val="28"/>
        </w:rPr>
        <w:t> </w:t>
      </w:r>
      <w:r w:rsidRPr="00DC4E7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саморегуляции</w:t>
      </w:r>
      <w:r w:rsidRPr="00DC4E7A">
        <w:rPr>
          <w:b/>
          <w:color w:val="111111"/>
          <w:sz w:val="28"/>
          <w:szCs w:val="28"/>
        </w:rPr>
        <w:t>.</w:t>
      </w:r>
      <w:r w:rsidRPr="004C3A3E">
        <w:rPr>
          <w:color w:val="111111"/>
          <w:sz w:val="28"/>
          <w:szCs w:val="28"/>
        </w:rPr>
        <w:t xml:space="preserve"> Особенно незнание способов </w:t>
      </w:r>
      <w:r w:rsidRPr="00DC4E7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саморегуляции</w:t>
      </w:r>
      <w:r w:rsidRPr="004C3A3E">
        <w:rPr>
          <w:color w:val="111111"/>
          <w:sz w:val="28"/>
          <w:szCs w:val="28"/>
        </w:rPr>
        <w:t> характерно для молодых </w:t>
      </w:r>
      <w:r w:rsidRPr="00DC4E7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 w:rsidRPr="00DC4E7A">
        <w:rPr>
          <w:color w:val="111111"/>
          <w:sz w:val="28"/>
          <w:szCs w:val="28"/>
        </w:rPr>
        <w:t xml:space="preserve">. </w:t>
      </w:r>
      <w:r w:rsidRPr="004C3A3E">
        <w:rPr>
          <w:color w:val="111111"/>
          <w:sz w:val="28"/>
          <w:szCs w:val="28"/>
        </w:rPr>
        <w:t xml:space="preserve">По данным </w:t>
      </w:r>
      <w:proofErr w:type="spellStart"/>
      <w:r w:rsidRPr="004C3A3E">
        <w:rPr>
          <w:color w:val="111111"/>
          <w:sz w:val="28"/>
          <w:szCs w:val="28"/>
        </w:rPr>
        <w:t>Чебыкина</w:t>
      </w:r>
      <w:proofErr w:type="spellEnd"/>
      <w:r>
        <w:rPr>
          <w:color w:val="111111"/>
          <w:sz w:val="28"/>
          <w:szCs w:val="28"/>
        </w:rPr>
        <w:t xml:space="preserve"> </w:t>
      </w:r>
      <w:r w:rsidRPr="004C3A3E">
        <w:rPr>
          <w:color w:val="111111"/>
          <w:sz w:val="28"/>
          <w:szCs w:val="28"/>
        </w:rPr>
        <w:t>А.Я., около 50% специалистов испытывают трудности в регуляции собственных состояний</w:t>
      </w:r>
      <w:r>
        <w:rPr>
          <w:color w:val="111111"/>
          <w:sz w:val="28"/>
          <w:szCs w:val="28"/>
        </w:rPr>
        <w:t xml:space="preserve"> [?]</w:t>
      </w:r>
      <w:r w:rsidRPr="004C3A3E">
        <w:rPr>
          <w:color w:val="111111"/>
          <w:sz w:val="28"/>
          <w:szCs w:val="28"/>
        </w:rPr>
        <w:t>.</w:t>
      </w:r>
    </w:p>
    <w:p w:rsidR="00DC4E7A" w:rsidRDefault="00DC4E7A" w:rsidP="00DC4E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4C3A3E">
        <w:rPr>
          <w:sz w:val="28"/>
          <w:szCs w:val="28"/>
        </w:rPr>
        <w:t>Современный образовательный процесс предполагает определенный уровень взаимоотношений педагогов в различных системах: «учитель – ученик», «учитель - родитель», «учитель - учитель», «учитель - администрация».</w:t>
      </w:r>
      <w:proofErr w:type="gramEnd"/>
    </w:p>
    <w:p w:rsidR="00487603" w:rsidRPr="003A31AF" w:rsidRDefault="00487603" w:rsidP="00487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AF">
        <w:rPr>
          <w:rFonts w:ascii="Times New Roman" w:hAnsi="Times New Roman" w:cs="Times New Roman"/>
          <w:sz w:val="28"/>
          <w:szCs w:val="28"/>
        </w:rPr>
        <w:t xml:space="preserve">Профессия педагога требует выдержки, эмоционального благополучия, умения создавать благоприятную психологическую обстановку и бороться с негативными следствиями межличностного взаимодействия – конфликтностью, плохим самочувствием, усталостью, что выражается во взаимоотношениях с коллегами, учениками и родителями. Чрезвычайно значимым компонентом работы преподавателей признается саморегуляция – способность, направленная на контроль своего личного психического </w:t>
      </w:r>
      <w:r w:rsidRPr="003A31AF">
        <w:rPr>
          <w:rFonts w:ascii="Times New Roman" w:hAnsi="Times New Roman" w:cs="Times New Roman"/>
          <w:sz w:val="28"/>
          <w:szCs w:val="28"/>
        </w:rPr>
        <w:lastRenderedPageBreak/>
        <w:t>состояния с целью того, чтобы оптимальным способом находить решение в сложившихся педагогических ситуациях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31AF">
        <w:rPr>
          <w:rFonts w:ascii="Times New Roman" w:hAnsi="Times New Roman" w:cs="Times New Roman"/>
          <w:sz w:val="28"/>
          <w:szCs w:val="28"/>
        </w:rPr>
        <w:t> </w:t>
      </w:r>
    </w:p>
    <w:p w:rsidR="00487603" w:rsidRDefault="00487603" w:rsidP="004876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C3A3E">
        <w:rPr>
          <w:color w:val="111111"/>
          <w:sz w:val="28"/>
          <w:szCs w:val="28"/>
        </w:rPr>
        <w:t>При этом не стоит упускать из внимания тот факт, что педагог является активным участником образовательного процесса, психологическое здоровье и безопасность которого напрямую отражается на качестве и результате обучения и воспитания школьников.</w:t>
      </w:r>
    </w:p>
    <w:p w:rsidR="00DC4E7A" w:rsidRDefault="00DC4E7A" w:rsidP="004876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632D">
        <w:rPr>
          <w:b/>
          <w:sz w:val="28"/>
          <w:szCs w:val="28"/>
        </w:rPr>
        <w:t>Цель исследования:</w:t>
      </w:r>
      <w:r>
        <w:rPr>
          <w:sz w:val="28"/>
          <w:szCs w:val="28"/>
        </w:rPr>
        <w:t xml:space="preserve"> изучить </w:t>
      </w:r>
      <w:r w:rsidR="00370A0A">
        <w:rPr>
          <w:sz w:val="28"/>
          <w:szCs w:val="28"/>
        </w:rPr>
        <w:t>психофизиологические предпосылки эмоциональной</w:t>
      </w:r>
      <w:r>
        <w:rPr>
          <w:sz w:val="28"/>
          <w:szCs w:val="28"/>
        </w:rPr>
        <w:t xml:space="preserve"> саморегуля</w:t>
      </w:r>
      <w:r w:rsidR="00370A0A">
        <w:rPr>
          <w:sz w:val="28"/>
          <w:szCs w:val="28"/>
        </w:rPr>
        <w:t>ции</w:t>
      </w:r>
      <w:r>
        <w:rPr>
          <w:sz w:val="28"/>
          <w:szCs w:val="28"/>
        </w:rPr>
        <w:t xml:space="preserve"> педагогов.</w:t>
      </w:r>
    </w:p>
    <w:p w:rsidR="00370A0A" w:rsidRDefault="00370A0A" w:rsidP="00370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2D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эмоциональная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саморегуляция</w:t>
      </w:r>
      <w:r w:rsidRPr="00C908E6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A0A" w:rsidRDefault="00370A0A" w:rsidP="00370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2D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психофизиологические предпосылки эмоциональной саморегуляции педагогов.</w:t>
      </w:r>
    </w:p>
    <w:p w:rsidR="00DC4E7A" w:rsidRDefault="00DC4E7A" w:rsidP="004876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В нашем исследовании приняли участие педагоги образовательных учреждений Чернянского района Белгородской области в количестве 80 человек. Из них 28 человек – мужчины, 52 – женщины. Педагогический стаж испытуемых от 12 до 20 лет.</w:t>
      </w:r>
    </w:p>
    <w:p w:rsidR="00487603" w:rsidRPr="00DC4E7A" w:rsidRDefault="00487603" w:rsidP="00DC4E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 помощью </w:t>
      </w:r>
      <w:r w:rsidR="00DC4E7A">
        <w:rPr>
          <w:color w:val="111111"/>
          <w:sz w:val="28"/>
          <w:szCs w:val="28"/>
        </w:rPr>
        <w:t xml:space="preserve">методики ДИАСАМ </w:t>
      </w:r>
      <w:proofErr w:type="spellStart"/>
      <w:r w:rsidR="00DC4E7A">
        <w:rPr>
          <w:color w:val="111111"/>
          <w:sz w:val="28"/>
          <w:szCs w:val="28"/>
        </w:rPr>
        <w:t>Прядеина</w:t>
      </w:r>
      <w:proofErr w:type="spellEnd"/>
      <w:r w:rsidR="00DC4E7A">
        <w:rPr>
          <w:color w:val="111111"/>
          <w:sz w:val="28"/>
          <w:szCs w:val="28"/>
        </w:rPr>
        <w:t xml:space="preserve"> В.П. нами были изучены психофизиологические предпосылки эмоциональной саморегуляции педагогов. </w:t>
      </w:r>
      <w:r w:rsidRPr="00C908E6">
        <w:rPr>
          <w:bCs/>
          <w:kern w:val="32"/>
          <w:sz w:val="28"/>
          <w:szCs w:val="28"/>
        </w:rPr>
        <w:t xml:space="preserve">Результаты </w:t>
      </w:r>
      <w:r>
        <w:rPr>
          <w:bCs/>
          <w:kern w:val="32"/>
          <w:sz w:val="28"/>
          <w:szCs w:val="28"/>
        </w:rPr>
        <w:t>представлены на</w:t>
      </w:r>
      <w:r w:rsidRPr="00C908E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рисунке</w:t>
      </w:r>
      <w:r w:rsidR="00DC4E7A">
        <w:rPr>
          <w:bCs/>
          <w:kern w:val="32"/>
          <w:sz w:val="28"/>
          <w:szCs w:val="28"/>
        </w:rPr>
        <w:t xml:space="preserve"> </w:t>
      </w:r>
      <w:r w:rsidRPr="00C908E6">
        <w:rPr>
          <w:bCs/>
          <w:kern w:val="32"/>
          <w:sz w:val="28"/>
          <w:szCs w:val="28"/>
        </w:rPr>
        <w:t>1.</w:t>
      </w:r>
    </w:p>
    <w:p w:rsidR="00487603" w:rsidRPr="00C908E6" w:rsidRDefault="00487603" w:rsidP="004876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62571" cy="3209925"/>
            <wp:effectExtent l="0" t="0" r="4829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87603" w:rsidRDefault="00DC4E7A" w:rsidP="004876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Рис. </w:t>
      </w:r>
      <w:r w:rsidR="0048760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1. Выраженность психофизиологических предпосылок саморегуляции учителей (средний балл)</w:t>
      </w:r>
    </w:p>
    <w:p w:rsidR="00487603" w:rsidRDefault="00487603" w:rsidP="0048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По результатам изучения психофизиологических предпосылок </w:t>
      </w:r>
      <w:r w:rsidRPr="00C908E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саморегуляции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учителей (рис.</w:t>
      </w:r>
      <w:r w:rsidR="00DC4E7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1) видно, что наиболее яркую выраженность имеет такой агармонический </w:t>
      </w:r>
      <w:r w:rsidRPr="00C908E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параметр как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«Пассивность» (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ср</w:t>
      </w:r>
      <w:proofErr w:type="gram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. б. 0,43). Педагоги, для которых характерен данный показатель, отличаются спокойствием, размеренностью, в некоторой степени даже медлительностью. Склонность к спокойным видам деятельности и нелюбовь к суете, строгое определение своего трудового распорядка во избежание излишней усталости дают нам возможность говорить об определенной степени профессионального выгорания у данной группы педагогов, что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>подтверждается анализом возраста и трудового стажа педагогов – данная группа имеет не менее 30 лет педагогического стажа.</w:t>
      </w:r>
    </w:p>
    <w:p w:rsidR="00487603" w:rsidRDefault="00487603" w:rsidP="0048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Несколько менее выраженным является также агармонический параметр «Эмоции астенические» (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ср</w:t>
      </w:r>
      <w:proofErr w:type="gram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. б. 0,39). Для педагогов данной группы характерны излишняя эмоциональность, неумение скрывать собственные эмоции и чувства, взрывной характер. Как следствие, у данных педагогов часто возникают 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конфликты</w:t>
      </w:r>
      <w:proofErr w:type="gram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как в педагогическом коллективе, так и с учениками. Эмоциональная несдержанность, преобладание описанных выше характеристик создают дополнительные проблемы учителям этой группы в образовательном процессе и трудовой деятельности, что подтверждается общением с администрацией школ, коллегами.</w:t>
      </w:r>
    </w:p>
    <w:p w:rsidR="00487603" w:rsidRDefault="00487603" w:rsidP="0048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Равную степень выраженности имеют такие агармонические показатели как «Интраверсия», «Экстернальность», а также гармонические параметры «Экстраверсия» и «Интернальность» (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ср. б</w:t>
      </w:r>
      <w:proofErr w:type="gram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 0,34).</w:t>
      </w:r>
    </w:p>
    <w:p w:rsidR="00487603" w:rsidRDefault="00487603" w:rsidP="0048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Для учителей с преобладанием показателя «Интраверсия» характерна некоторая «мечтательность» - им легче строить планы, чем браться за их реализацию. Обладая высокой эмоциональной чувствительностью, трудно перестраиваются к смене коллектива, ситуации, обстановке. Несомненно, обладая такими характеристиками, учителя 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испытывают определенные проблемы</w:t>
      </w:r>
      <w:proofErr w:type="gram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во взаимодействии с коллегами, что не может не сказаться на качестве образовательного процесса. </w:t>
      </w:r>
    </w:p>
    <w:p w:rsidR="00487603" w:rsidRDefault="00487603" w:rsidP="0048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Преобладание агармонического показателя «Экстернальность» характеризует группу педагогов с высокой выраженностью данного показателя как людей, которые во многих аспектах своей жизни (как личной, так и профессиональной) полагаются на волю случая, на стечение обстоятельств. Именно стечением обстоятельств данные педагоги оправдывают свои неудачи, какие-либо проблемные ситуации. При этом, также полагаясь на судьбу и «обстоятельства», не принимают никаких действий по разрешению проблемной (конфликтной) ситуации. Соответственно, такое поведение не может вызывать одобрения у администрации образовательного учреждения и коллег, а, следовательно, конфликты и проблемные ситуации накапливаются как снежный ком, что нередко приводит к смене места работы, либо к уходу из профессии. Закономерно, что большая часть наших респондентов с преобладанием данного показателя либо твердо убеждены в кардинальной смене трудовой деятельности, либо все чаще задумываются над этим. </w:t>
      </w:r>
    </w:p>
    <w:p w:rsidR="00487603" w:rsidRDefault="00487603" w:rsidP="0048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Преобладание гармонического параметра «Экстраверсия» характеризует педагогов данной группы как людей оптимистичных, живых, легко находящих общий язык с людьми, стремящимися к новым знакомствам и достижениям. Примечательно, что почти все педагоги, для которых свойственны данные характеристики, являются молодыми специалистами, чей педагогический стаж не превышает 5 лет. </w:t>
      </w:r>
    </w:p>
    <w:p w:rsidR="00487603" w:rsidRDefault="00487603" w:rsidP="0048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Учителей, для которых свойственен гармонический параметр «Интернальность» можно охарактеризовать как людей практичных, целеустремленных, полагающихся на собственные силы, знания и умения. Не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>надеясь на помощь со стороны, стечения обстоятельств или случай, данные педагоги сами добиваются поставленных перед собой целей. Нередко подобное поведение вызывает негативные последствия в коллективе (зависть, осуждения, клевету), но, в то же время, приносит данным педагогам положительную репутацию в глазах администрации школы и высокую результативность образовательного процесса. Анализ результатов обучения показывает, что ученики данных педагогов, как и они сами, часто становятся призерами и победителями различных олимпиад и конкурсов, успешнее проходят промежуточную и итоговую аттестацию.</w:t>
      </w:r>
    </w:p>
    <w:p w:rsidR="00487603" w:rsidRDefault="00487603" w:rsidP="0048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Наименьшую выраженность имеет в нашей группе респондентов гармонический параметр «Активность» (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ср</w:t>
      </w:r>
      <w:proofErr w:type="gram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. б. 0,25). Педагоги данной группы не могут «усидеть на месте», их раздражает «ничегонеделание». Являются активными участниками жизни школы, общественниками, часто при 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этом</w:t>
      </w:r>
      <w:proofErr w:type="gram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беря на себя трудовые функции, к которым, по сути, не имеют никакого отношения. Малочисленность данной группы педагогов объясняется отсутствием системы поощрений за результативность и активность. Также немаловажным фактором является непринятие активности и инициативности администрацией образовательного учреждения. Все это является важнейшим фактором снижения активности и инициативности у современных педагогов.</w:t>
      </w:r>
    </w:p>
    <w:p w:rsidR="00DC4E7A" w:rsidRDefault="00DC4E7A" w:rsidP="004876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Полученные в ходе нашего исследования данные в очередной раз подчеркивают важность и необходимость проведения педагогами-психологами образовательных учреждений профилактической работы в данном направлении. </w:t>
      </w:r>
    </w:p>
    <w:p w:rsidR="00C20440" w:rsidRDefault="00C20440" w:rsidP="00487603">
      <w:pPr>
        <w:spacing w:after="0" w:line="240" w:lineRule="auto"/>
      </w:pPr>
    </w:p>
    <w:sectPr w:rsidR="00C20440" w:rsidSect="00C2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603"/>
    <w:rsid w:val="00370A0A"/>
    <w:rsid w:val="00487603"/>
    <w:rsid w:val="00C20440"/>
    <w:rsid w:val="00DC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60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876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1111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85245901639353E-2"/>
          <c:y val="5.4711246200607924E-2"/>
          <c:w val="0.63606557377049266"/>
          <c:h val="0.8784194528875386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Активность</c:v>
                </c:pt>
              </c:strCache>
            </c:strRef>
          </c:tx>
          <c:spPr>
            <a:pattFill prst="trellis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8328520728123851E-2"/>
                  <c:y val="7.1575654813059872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0,25</a:t>
                    </a:r>
                  </a:p>
                </c:rich>
              </c:tx>
              <c:spPr>
                <a:noFill/>
                <a:ln w="25359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129-4414-AF62-62A0D126992D}"/>
                </c:ext>
              </c:extLst>
            </c:dLbl>
            <c:spPr>
              <a:noFill/>
              <a:ln w="2535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129-4414-AF62-62A0D126992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Экстраверсия</c:v>
                </c:pt>
              </c:strCache>
            </c:strRef>
          </c:tx>
          <c:spPr>
            <a:pattFill prst="pct50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-3.6616505327787194E-2"/>
                  <c:y val="6.1301186909158499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0,34</a:t>
                    </a:r>
                  </a:p>
                </c:rich>
              </c:tx>
              <c:spPr>
                <a:noFill/>
                <a:ln w="25359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129-4414-AF62-62A0D126992D}"/>
                </c:ext>
              </c:extLst>
            </c:dLbl>
            <c:spPr>
              <a:noFill/>
              <a:ln w="2535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1">
                  <c:v>0.3400000000000003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129-4414-AF62-62A0D126992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Эмоции стенические</c:v>
                </c:pt>
              </c:strCache>
            </c:strRef>
          </c:tx>
          <c:spPr>
            <a:pattFill prst="ltDnDiag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-3.5923320570389182E-2"/>
                  <c:y val="5.8371774324669688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0,29</a:t>
                    </a:r>
                  </a:p>
                </c:rich>
              </c:tx>
              <c:spPr>
                <a:noFill/>
                <a:ln w="25359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129-4414-AF62-62A0D126992D}"/>
                </c:ext>
              </c:extLst>
            </c:dLbl>
            <c:spPr>
              <a:noFill/>
              <a:ln w="2535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Sheet1!$B$4:$I$4</c:f>
              <c:numCache>
                <c:formatCode>General</c:formatCode>
                <c:ptCount val="8"/>
                <c:pt idx="2">
                  <c:v>0.29000000000000031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129-4414-AF62-62A0D126992D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Интернальность</c:v>
                </c:pt>
              </c:strCache>
            </c:strRef>
          </c:tx>
          <c:spPr>
            <a:pattFill prst="ltVert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3"/>
              <c:layout>
                <c:manualLayout>
                  <c:x val="-3.7384147660056342E-2"/>
                  <c:y val="6.1301186909158499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0,34</a:t>
                    </a:r>
                  </a:p>
                </c:rich>
              </c:tx>
              <c:spPr>
                <a:noFill/>
                <a:ln w="25359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129-4414-AF62-62A0D126992D}"/>
                </c:ext>
              </c:extLst>
            </c:dLbl>
            <c:spPr>
              <a:noFill/>
              <a:ln w="2535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Sheet1!$B$5:$I$5</c:f>
              <c:numCache>
                <c:formatCode>General</c:formatCode>
                <c:ptCount val="8"/>
                <c:pt idx="3">
                  <c:v>0.3400000000000003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7129-4414-AF62-62A0D126992D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Пассивность</c:v>
                </c:pt>
              </c:strCache>
            </c:strRef>
          </c:tx>
          <c:spPr>
            <a:pattFill prst="dashDnDiag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4"/>
              <c:layout>
                <c:manualLayout>
                  <c:x val="-3.5146858662053401E-2"/>
                  <c:y val="5.1196432304369072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0,43</a:t>
                    </a:r>
                  </a:p>
                </c:rich>
              </c:tx>
              <c:spPr>
                <a:noFill/>
                <a:ln w="25359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129-4414-AF62-62A0D126992D}"/>
                </c:ext>
              </c:extLst>
            </c:dLbl>
            <c:spPr>
              <a:noFill/>
              <a:ln w="2535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Sheet1!$B$6:$I$6</c:f>
              <c:numCache>
                <c:formatCode>General</c:formatCode>
                <c:ptCount val="8"/>
                <c:pt idx="4">
                  <c:v>0.43000000000000038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7129-4414-AF62-62A0D126992D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Интраверсия</c:v>
                </c:pt>
              </c:strCache>
            </c:strRef>
          </c:tx>
          <c:spPr>
            <a:pattFill prst="diagBrick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5"/>
              <c:layout>
                <c:manualLayout>
                  <c:x val="-3.6092927802441561E-2"/>
                  <c:y val="6.2194659295906729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0,34</a:t>
                    </a:r>
                  </a:p>
                </c:rich>
              </c:tx>
              <c:spPr>
                <a:noFill/>
                <a:ln w="25359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129-4414-AF62-62A0D126992D}"/>
                </c:ext>
              </c:extLst>
            </c:dLbl>
            <c:spPr>
              <a:noFill/>
              <a:ln w="2535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Sheet1!$B$7:$I$7</c:f>
              <c:numCache>
                <c:formatCode>General</c:formatCode>
                <c:ptCount val="8"/>
                <c:pt idx="5">
                  <c:v>0.3400000000000003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7129-4414-AF62-62A0D126992D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Эмоции астенические</c:v>
                </c:pt>
              </c:strCache>
            </c:strRef>
          </c:tx>
          <c:spPr>
            <a:pattFill prst="narHorz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6"/>
              <c:layout>
                <c:manualLayout>
                  <c:x val="-3.5399743045043452E-2"/>
                  <c:y val="6.6017853962944892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0,39</a:t>
                    </a:r>
                  </a:p>
                </c:rich>
              </c:tx>
              <c:spPr>
                <a:noFill/>
                <a:ln w="25359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129-4414-AF62-62A0D126992D}"/>
                </c:ext>
              </c:extLst>
            </c:dLbl>
            <c:spPr>
              <a:noFill/>
              <a:ln w="2535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Sheet1!$B$8:$I$8</c:f>
              <c:numCache>
                <c:formatCode>General</c:formatCode>
                <c:ptCount val="8"/>
                <c:pt idx="6">
                  <c:v>0.39000000000000051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7129-4414-AF62-62A0D126992D}"/>
            </c:ext>
          </c:extLst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Экстернальность</c:v>
                </c:pt>
              </c:strCache>
            </c:strRef>
          </c:tx>
          <c:spPr>
            <a:pattFill prst="dashVert">
              <a:fgClr>
                <a:srgbClr val="000000"/>
              </a:fgClr>
              <a:bgClr>
                <a:srgbClr val="FFFF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7"/>
              <c:layout>
                <c:manualLayout>
                  <c:x val="-3.3677211996319595E-2"/>
                  <c:y val="8.060824255375168E-2"/>
                </c:manualLayout>
              </c:layout>
              <c:tx>
                <c:rich>
                  <a:bodyPr/>
                  <a:lstStyle/>
                  <a:p>
                    <a:pPr>
                      <a:defRPr sz="9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0,34</a:t>
                    </a:r>
                  </a:p>
                </c:rich>
              </c:tx>
              <c:spPr>
                <a:noFill/>
                <a:ln w="25359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129-4414-AF62-62A0D126992D}"/>
                </c:ext>
              </c:extLst>
            </c:dLbl>
            <c:spPr>
              <a:noFill/>
              <a:ln w="2535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Sheet1!$B$9:$I$9</c:f>
              <c:numCache>
                <c:formatCode>General</c:formatCode>
                <c:ptCount val="8"/>
                <c:pt idx="7">
                  <c:v>0.3400000000000003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7129-4414-AF62-62A0D126992D}"/>
            </c:ext>
          </c:extLst>
        </c:ser>
        <c:gapWidth val="0"/>
        <c:gapDepth val="0"/>
        <c:shape val="box"/>
        <c:axId val="39371136"/>
        <c:axId val="39372672"/>
        <c:axId val="0"/>
      </c:bar3DChart>
      <c:catAx>
        <c:axId val="39371136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4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372672"/>
        <c:crosses val="autoZero"/>
        <c:auto val="1"/>
        <c:lblAlgn val="ctr"/>
        <c:lblOffset val="100"/>
        <c:tickLblSkip val="1"/>
        <c:tickMarkSkip val="1"/>
      </c:catAx>
      <c:valAx>
        <c:axId val="39372672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371136"/>
        <c:crosses val="autoZero"/>
        <c:crossBetween val="between"/>
      </c:valAx>
      <c:spPr>
        <a:noFill/>
        <a:ln w="25359">
          <a:noFill/>
        </a:ln>
      </c:spPr>
    </c:plotArea>
    <c:legend>
      <c:legendPos val="r"/>
      <c:layout>
        <c:manualLayout>
          <c:xMode val="edge"/>
          <c:yMode val="edge"/>
          <c:x val="0.76818507541161563"/>
          <c:y val="8.1902461307380867E-2"/>
          <c:w val="0.22956559347690605"/>
          <c:h val="0.79293057394374378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4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2</cp:revision>
  <dcterms:created xsi:type="dcterms:W3CDTF">2019-06-03T17:46:00Z</dcterms:created>
  <dcterms:modified xsi:type="dcterms:W3CDTF">2019-06-03T18:11:00Z</dcterms:modified>
</cp:coreProperties>
</file>